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Times New Roman" w:hAnsi="Times New Roman"/>
          <w:b/>
          <w:sz w:val="30"/>
          <w:szCs w:val="30"/>
        </w:rPr>
      </w:pPr>
      <w:r>
        <w:rPr>
          <w:rFonts w:ascii="Times New Roman" w:hAnsi="Times New Roman"/>
          <w:b/>
          <w:sz w:val="30"/>
          <w:szCs w:val="30"/>
        </w:rPr>
        <w:t>实验动物（大鼠、小鼠、兔）</w:t>
      </w:r>
      <w:r>
        <w:rPr>
          <w:rFonts w:hint="eastAsia" w:ascii="Times New Roman" w:hAnsi="Times New Roman"/>
          <w:b/>
          <w:sz w:val="30"/>
          <w:szCs w:val="30"/>
        </w:rPr>
        <w:t>原代海绵体平滑肌</w:t>
      </w:r>
      <w:r>
        <w:rPr>
          <w:rFonts w:ascii="Times New Roman" w:hAnsi="Times New Roman"/>
          <w:b/>
          <w:sz w:val="30"/>
          <w:szCs w:val="30"/>
        </w:rPr>
        <w:t>细胞</w:t>
      </w:r>
    </w:p>
    <w:p>
      <w:pPr>
        <w:jc w:val="left"/>
        <w:rPr>
          <w:rFonts w:ascii="Times New Roman" w:hAnsi="Times New Roman"/>
          <w:b/>
          <w:sz w:val="24"/>
        </w:rPr>
      </w:pPr>
    </w:p>
    <w:p>
      <w:pPr>
        <w:jc w:val="left"/>
        <w:rPr>
          <w:rFonts w:ascii="Times New Roman" w:hAnsi="Times New Roman"/>
          <w:bCs/>
        </w:rPr>
      </w:pPr>
      <w:r>
        <w:rPr>
          <w:rFonts w:hint="eastAsia" w:ascii="Times New Roman" w:hAnsi="Times New Roman"/>
          <w:b/>
          <w:sz w:val="24"/>
        </w:rPr>
        <w:t>产品编</w:t>
      </w:r>
      <w:r>
        <w:rPr>
          <w:rFonts w:ascii="Times New Roman" w:hAnsi="Times New Roman"/>
          <w:b/>
          <w:sz w:val="24"/>
        </w:rPr>
        <w:t>号：</w:t>
      </w:r>
      <w:r>
        <w:rPr>
          <w:rFonts w:ascii="Times New Roman" w:hAnsi="Times New Roman"/>
          <w:bCs/>
          <w:sz w:val="24"/>
        </w:rPr>
        <w:t>RAT/MIC/RAB</w:t>
      </w:r>
      <w:r>
        <w:rPr>
          <w:rFonts w:ascii="Times New Roman" w:hAnsi="Times New Roman"/>
          <w:bCs/>
          <w:kern w:val="0"/>
          <w:sz w:val="24"/>
          <w:szCs w:val="24"/>
        </w:rPr>
        <w:t xml:space="preserve">-iCELL-f003 </w:t>
      </w:r>
    </w:p>
    <w:p>
      <w:pPr>
        <w:jc w:val="left"/>
        <w:rPr>
          <w:rFonts w:ascii="Times New Roman" w:hAnsi="Times New Roman"/>
          <w:bCs/>
          <w:sz w:val="24"/>
        </w:rPr>
      </w:pPr>
      <w:r>
        <w:rPr>
          <w:rFonts w:hint="eastAsia" w:ascii="Times New Roman" w:hAnsi="Times New Roman"/>
          <w:b/>
          <w:sz w:val="24"/>
        </w:rPr>
        <w:t>产品规格：</w:t>
      </w:r>
      <w:r>
        <w:rPr>
          <w:rFonts w:hint="eastAsia" w:ascii="Times New Roman" w:hAnsi="Times New Roman"/>
          <w:bCs/>
          <w:sz w:val="24"/>
        </w:rPr>
        <w:t>&gt;5×10</w:t>
      </w:r>
      <w:r>
        <w:rPr>
          <w:rFonts w:hint="eastAsia" w:ascii="Times New Roman" w:hAnsi="Times New Roman"/>
          <w:bCs/>
          <w:sz w:val="24"/>
          <w:vertAlign w:val="superscript"/>
        </w:rPr>
        <w:t>5</w:t>
      </w:r>
      <w:r>
        <w:rPr>
          <w:rFonts w:hint="eastAsia" w:ascii="Times New Roman" w:hAnsi="Times New Roman"/>
          <w:bCs/>
          <w:sz w:val="24"/>
        </w:rPr>
        <w:t>细胞数</w:t>
      </w:r>
    </w:p>
    <w:p>
      <w:pPr>
        <w:jc w:val="left"/>
        <w:rPr>
          <w:rFonts w:ascii="Times New Roman" w:hAnsi="Times New Roman"/>
          <w:bCs/>
          <w:sz w:val="24"/>
        </w:rPr>
      </w:pPr>
      <w:r>
        <w:rPr>
          <w:rFonts w:hint="eastAsia" w:ascii="Times New Roman" w:hAnsi="Times New Roman"/>
          <w:b/>
          <w:sz w:val="24"/>
        </w:rPr>
        <w:t>产品价格：</w:t>
      </w:r>
      <w:r>
        <w:rPr>
          <w:rFonts w:hint="eastAsia" w:ascii="Times New Roman" w:hAnsi="Times New Roman"/>
          <w:bCs/>
          <w:sz w:val="24"/>
        </w:rPr>
        <w:t>3660/3600/4050</w:t>
      </w:r>
    </w:p>
    <w:p>
      <w:pPr>
        <w:jc w:val="left"/>
        <w:rPr>
          <w:rFonts w:ascii="Times New Roman" w:hAnsi="Times New Roman"/>
          <w:bCs/>
          <w:sz w:val="24"/>
        </w:rPr>
      </w:pPr>
      <w:r>
        <w:rPr>
          <w:rFonts w:hint="eastAsia" w:ascii="Times New Roman" w:hAnsi="Times New Roman"/>
          <w:b/>
          <w:sz w:val="24"/>
        </w:rPr>
        <w:t>包装规格：</w:t>
      </w:r>
      <w:r>
        <w:rPr>
          <w:rFonts w:hint="eastAsia" w:ascii="Times New Roman" w:hAnsi="Times New Roman"/>
          <w:bCs/>
          <w:sz w:val="24"/>
        </w:rPr>
        <w:t>1ml冻存细胞悬液或T-25培养瓶</w:t>
      </w:r>
    </w:p>
    <w:p>
      <w:pPr>
        <w:jc w:val="left"/>
        <w:rPr>
          <w:rFonts w:ascii="Times New Roman" w:hAnsi="Times New Roman"/>
          <w:bCs/>
          <w:sz w:val="24"/>
        </w:rPr>
      </w:pPr>
    </w:p>
    <w:p>
      <w:pPr>
        <w:jc w:val="left"/>
        <w:rPr>
          <w:rFonts w:ascii="Times New Roman" w:hAnsi="Times New Roman"/>
          <w:b/>
          <w:sz w:val="24"/>
        </w:rPr>
      </w:pPr>
      <w:r>
        <w:rPr>
          <w:rFonts w:ascii="Times New Roman" w:hAnsi="Times New Roman"/>
          <w:b/>
          <w:sz w:val="24"/>
        </w:rPr>
        <w:t>细胞</w:t>
      </w:r>
      <w:r>
        <w:rPr>
          <w:rFonts w:hint="eastAsia" w:ascii="Times New Roman" w:hAnsi="Times New Roman"/>
          <w:b/>
          <w:sz w:val="24"/>
        </w:rPr>
        <w:t>详述</w:t>
      </w:r>
      <w:r>
        <w:rPr>
          <w:rFonts w:ascii="Times New Roman" w:hAnsi="Times New Roman"/>
          <w:b/>
          <w:sz w:val="24"/>
        </w:rPr>
        <w:t>：</w:t>
      </w:r>
    </w:p>
    <w:p>
      <w:pPr>
        <w:ind w:firstLine="465"/>
        <w:jc w:val="left"/>
        <w:rPr>
          <w:rFonts w:cs="Calibri"/>
          <w:sz w:val="24"/>
          <w:szCs w:val="24"/>
        </w:rPr>
      </w:pPr>
      <w:r>
        <w:rPr>
          <w:rFonts w:hint="eastAsia" w:ascii="宋体" w:hAnsi="宋体" w:cs="Arial"/>
          <w:sz w:val="24"/>
          <w:szCs w:val="24"/>
        </w:rPr>
        <w:t>海绵体平滑肌细胞不仅含有丰富的肾上腺素能受体、胆碱能受体，而且还含有多种其他能受体，作为勃起组织中最主要的舒收缩成分，是组成阴茎勃起功能的主要承担着。在病理条件下，阴茎勃起组织中海绵体平滑肌细胞减少与勃起功能障碍的发生关系密切，且与临床表现的严重程度一致。</w:t>
      </w:r>
    </w:p>
    <w:p>
      <w:pPr>
        <w:jc w:val="left"/>
        <w:rPr>
          <w:rFonts w:ascii="Times New Roman" w:hAnsi="Times New Roman"/>
          <w:bCs/>
          <w:sz w:val="24"/>
        </w:rPr>
      </w:pPr>
    </w:p>
    <w:p>
      <w:pPr>
        <w:jc w:val="left"/>
        <w:rPr>
          <w:rFonts w:ascii="Times New Roman" w:hAnsi="Times New Roman"/>
          <w:b/>
          <w:sz w:val="24"/>
        </w:rPr>
      </w:pPr>
      <w:r>
        <w:rPr>
          <w:rFonts w:ascii="Times New Roman" w:hAnsi="Times New Roman"/>
          <w:b/>
          <w:sz w:val="24"/>
        </w:rPr>
        <w:t>细胞特性</w:t>
      </w:r>
      <w:r>
        <w:rPr>
          <w:rFonts w:hint="eastAsia" w:ascii="Times New Roman" w:hAnsi="Times New Roman"/>
          <w:b/>
          <w:sz w:val="24"/>
        </w:rPr>
        <w:t>:</w:t>
      </w:r>
    </w:p>
    <w:p>
      <w:pPr>
        <w:pStyle w:val="6"/>
        <w:numPr>
          <w:ilvl w:val="0"/>
          <w:numId w:val="1"/>
        </w:numPr>
        <w:ind w:left="424" w:leftChars="0" w:hanging="424" w:hangingChars="177"/>
        <w:jc w:val="left"/>
        <w:rPr>
          <w:rFonts w:ascii="Times New Roman" w:hAnsi="Times New Roman"/>
          <w:bCs/>
          <w:sz w:val="24"/>
        </w:rPr>
      </w:pPr>
      <w:r>
        <w:rPr>
          <w:rFonts w:hint="eastAsia" w:ascii="Times New Roman" w:hAnsi="Times New Roman"/>
          <w:bCs/>
          <w:sz w:val="24"/>
        </w:rPr>
        <w:t>组织来源于实验动物的正常阴茎</w:t>
      </w:r>
      <w:r>
        <w:rPr>
          <w:rFonts w:ascii="Times New Roman" w:hAnsi="Times New Roman"/>
          <w:bCs/>
          <w:sz w:val="24"/>
        </w:rPr>
        <w:t>组织</w:t>
      </w:r>
      <w:r>
        <w:rPr>
          <w:rFonts w:hint="eastAsia" w:ascii="Times New Roman" w:hAnsi="Times New Roman"/>
          <w:bCs/>
          <w:sz w:val="24"/>
        </w:rPr>
        <w:t>。</w:t>
      </w:r>
    </w:p>
    <w:p>
      <w:pPr>
        <w:pStyle w:val="6"/>
        <w:numPr>
          <w:ilvl w:val="0"/>
          <w:numId w:val="1"/>
        </w:numPr>
        <w:ind w:left="424" w:leftChars="0" w:hanging="424" w:hangingChars="177"/>
        <w:jc w:val="left"/>
        <w:rPr>
          <w:rFonts w:ascii="Times New Roman" w:hAnsi="Times New Roman"/>
          <w:bCs/>
          <w:sz w:val="24"/>
        </w:rPr>
      </w:pPr>
      <w:r>
        <w:rPr>
          <w:rFonts w:hint="eastAsia" w:ascii="Times New Roman" w:hAnsi="Times New Roman"/>
          <w:bCs/>
          <w:sz w:val="24"/>
        </w:rPr>
        <w:t>细胞</w:t>
      </w:r>
      <w:r>
        <w:rPr>
          <w:rFonts w:ascii="Times New Roman" w:hAnsi="Times New Roman"/>
          <w:bCs/>
          <w:sz w:val="24"/>
        </w:rPr>
        <w:t>鉴定：</w:t>
      </w:r>
      <w:r>
        <w:rPr>
          <w:rFonts w:hint="eastAsia" w:ascii="Times New Roman" w:hAnsi="Times New Roman"/>
          <w:bCs/>
          <w:sz w:val="24"/>
        </w:rPr>
        <w:t>平滑肌肌动蛋白（α-SMA）免疫荧光染色为阳性。</w:t>
      </w:r>
      <w:bookmarkStart w:id="1" w:name="_GoBack"/>
      <w:bookmarkEnd w:id="1"/>
    </w:p>
    <w:p>
      <w:pPr>
        <w:pStyle w:val="6"/>
        <w:numPr>
          <w:ilvl w:val="0"/>
          <w:numId w:val="1"/>
        </w:numPr>
        <w:ind w:left="424" w:leftChars="0" w:hanging="424" w:hangingChars="177"/>
        <w:jc w:val="left"/>
        <w:rPr>
          <w:rFonts w:ascii="Times New Roman" w:hAnsi="Times New Roman"/>
          <w:bCs/>
          <w:sz w:val="24"/>
        </w:rPr>
      </w:pPr>
      <w:r>
        <w:rPr>
          <w:rFonts w:hint="eastAsia" w:ascii="Times New Roman" w:hAnsi="Times New Roman"/>
          <w:bCs/>
          <w:sz w:val="24"/>
        </w:rPr>
        <w:t>经鉴定细胞纯度高于90</w:t>
      </w:r>
      <w:r>
        <w:rPr>
          <w:rFonts w:ascii="Times New Roman" w:hAnsi="Times New Roman"/>
          <w:bCs/>
          <w:sz w:val="24"/>
        </w:rPr>
        <w:t>%</w:t>
      </w:r>
      <w:r>
        <w:rPr>
          <w:rFonts w:hint="eastAsia" w:ascii="Times New Roman" w:hAnsi="Times New Roman"/>
          <w:bCs/>
          <w:sz w:val="24"/>
        </w:rPr>
        <w:t>。</w:t>
      </w:r>
    </w:p>
    <w:p>
      <w:pPr>
        <w:pStyle w:val="6"/>
        <w:numPr>
          <w:ilvl w:val="0"/>
          <w:numId w:val="1"/>
        </w:numPr>
        <w:ind w:left="424" w:leftChars="0" w:hanging="424" w:hangingChars="177"/>
        <w:jc w:val="left"/>
        <w:rPr>
          <w:rFonts w:ascii="Times New Roman" w:hAnsi="Times New Roman"/>
          <w:bCs/>
          <w:sz w:val="24"/>
        </w:rPr>
      </w:pPr>
      <w:r>
        <w:rPr>
          <w:rFonts w:ascii="Times New Roman" w:hAnsi="Times New Roman"/>
          <w:bCs/>
          <w:sz w:val="24"/>
        </w:rPr>
        <w:t>不含有 HIV-1、 HBV、HCV、支原体、细菌、酵母和真菌。</w:t>
      </w:r>
    </w:p>
    <w:p>
      <w:pPr>
        <w:pStyle w:val="6"/>
        <w:numPr>
          <w:ilvl w:val="0"/>
          <w:numId w:val="1"/>
        </w:numPr>
        <w:ind w:left="424" w:leftChars="0" w:hanging="424" w:hangingChars="177"/>
        <w:jc w:val="left"/>
        <w:rPr>
          <w:rFonts w:ascii="Times New Roman" w:hAnsi="Times New Roman"/>
          <w:bCs/>
          <w:sz w:val="24"/>
        </w:rPr>
      </w:pPr>
      <w:r>
        <w:rPr>
          <w:rFonts w:hint="eastAsia" w:ascii="Times New Roman" w:hAnsi="Times New Roman"/>
          <w:bCs/>
          <w:sz w:val="24"/>
        </w:rPr>
        <w:t>细胞生长方式：梭形</w:t>
      </w:r>
      <w:r>
        <w:rPr>
          <w:rFonts w:ascii="Times New Roman" w:hAnsi="Times New Roman"/>
          <w:bCs/>
          <w:sz w:val="24"/>
        </w:rPr>
        <w:t>细胞，不规则细胞，贴壁培养</w:t>
      </w:r>
      <w:r>
        <w:rPr>
          <w:rFonts w:hint="eastAsia" w:ascii="Times New Roman" w:hAnsi="Times New Roman"/>
          <w:bCs/>
          <w:sz w:val="24"/>
        </w:rPr>
        <w:t>。</w:t>
      </w:r>
    </w:p>
    <w:p>
      <w:pPr>
        <w:jc w:val="left"/>
        <w:rPr>
          <w:rFonts w:ascii="Times New Roman" w:hAnsi="Times New Roman"/>
          <w:bCs/>
          <w:sz w:val="24"/>
        </w:rPr>
      </w:pPr>
    </w:p>
    <w:p>
      <w:pPr>
        <w:jc w:val="left"/>
        <w:rPr>
          <w:rFonts w:ascii="Times New Roman" w:hAnsi="Times New Roman"/>
          <w:b/>
          <w:sz w:val="24"/>
        </w:rPr>
      </w:pPr>
      <w:r>
        <w:rPr>
          <w:rFonts w:hint="eastAsia" w:ascii="Times New Roman" w:hAnsi="Times New Roman"/>
          <w:b/>
          <w:sz w:val="24"/>
        </w:rPr>
        <w:t>产品的</w:t>
      </w:r>
      <w:r>
        <w:rPr>
          <w:rFonts w:ascii="Times New Roman" w:hAnsi="Times New Roman"/>
          <w:b/>
          <w:sz w:val="24"/>
        </w:rPr>
        <w:t>运输和保存</w:t>
      </w:r>
      <w:r>
        <w:rPr>
          <w:rFonts w:hint="eastAsia" w:ascii="Times New Roman" w:hAnsi="Times New Roman"/>
          <w:b/>
          <w:sz w:val="24"/>
        </w:rPr>
        <w:t>：</w:t>
      </w:r>
    </w:p>
    <w:p>
      <w:pPr>
        <w:jc w:val="left"/>
        <w:rPr>
          <w:rFonts w:ascii="Times New Roman" w:hAnsi="Times New Roman"/>
          <w:bCs/>
          <w:sz w:val="24"/>
        </w:rPr>
      </w:pPr>
      <w:r>
        <w:rPr>
          <w:rFonts w:hint="eastAsia" w:ascii="Times New Roman" w:hAnsi="Times New Roman"/>
          <w:bCs/>
          <w:sz w:val="24"/>
        </w:rPr>
        <w:t>视天气状况和运输距离远近，公司与客户协商后选择下述方式中的一种进行。</w:t>
      </w:r>
    </w:p>
    <w:p>
      <w:pPr>
        <w:numPr>
          <w:ilvl w:val="0"/>
          <w:numId w:val="2"/>
        </w:numPr>
        <w:jc w:val="left"/>
        <w:rPr>
          <w:rFonts w:ascii="Times New Roman" w:hAnsi="Times New Roman"/>
          <w:bCs/>
          <w:sz w:val="24"/>
        </w:rPr>
      </w:pPr>
      <w:r>
        <w:rPr>
          <w:rFonts w:ascii="Times New Roman" w:hAnsi="Times New Roman"/>
          <w:bCs/>
          <w:sz w:val="24"/>
        </w:rPr>
        <w:t>1mL</w:t>
      </w:r>
      <w:r>
        <w:rPr>
          <w:rFonts w:hint="eastAsia" w:ascii="Times New Roman" w:hAnsi="Times New Roman"/>
          <w:bCs/>
          <w:sz w:val="24"/>
        </w:rPr>
        <w:t>冻存细胞悬液装于1.8ml的冻存管中，置于装满干冰的泡沫保温盒中进行运输；收到细胞后请尽快解冻复苏细胞进行培养，如无法立刻进行复苏操作，冻存细胞可在-80℃的条件下保存1个月。</w:t>
      </w:r>
    </w:p>
    <w:p>
      <w:pPr>
        <w:numPr>
          <w:ilvl w:val="0"/>
          <w:numId w:val="2"/>
        </w:numPr>
        <w:jc w:val="left"/>
        <w:rPr>
          <w:rFonts w:ascii="Times New Roman" w:hAnsi="Times New Roman"/>
          <w:bCs/>
          <w:sz w:val="24"/>
        </w:rPr>
      </w:pPr>
      <w:r>
        <w:rPr>
          <w:rFonts w:hint="eastAsia" w:ascii="Times New Roman" w:hAnsi="Times New Roman"/>
          <w:bCs/>
          <w:sz w:val="24"/>
        </w:rPr>
        <w:t>T-25培养瓶充满完全培养基后进行常温运输；收到细胞后请镜下观察细胞生长状态，如铺瓶率超过85%请立即进行传代操作，如悬浮的细胞较多，请将培养瓶至于培养箱中静置过夜以帮助未死亡的悬浮细胞能够再次贴壁。</w:t>
      </w:r>
    </w:p>
    <w:p>
      <w:pPr>
        <w:jc w:val="left"/>
        <w:rPr>
          <w:rFonts w:ascii="Times New Roman" w:hAnsi="Times New Roman"/>
          <w:bCs/>
          <w:sz w:val="24"/>
        </w:rPr>
      </w:pPr>
    </w:p>
    <w:p>
      <w:pPr>
        <w:jc w:val="left"/>
        <w:rPr>
          <w:rFonts w:ascii="Times New Roman" w:hAnsi="Times New Roman"/>
          <w:b/>
          <w:sz w:val="24"/>
        </w:rPr>
      </w:pPr>
      <w:r>
        <w:rPr>
          <w:rFonts w:hint="eastAsia" w:ascii="Times New Roman" w:hAnsi="Times New Roman"/>
          <w:b/>
          <w:sz w:val="24"/>
        </w:rPr>
        <w:t>推荐培养基：</w:t>
      </w:r>
    </w:p>
    <w:p>
      <w:pPr>
        <w:jc w:val="left"/>
        <w:rPr>
          <w:rFonts w:ascii="Times New Roman" w:hAnsi="Times New Roman"/>
          <w:bCs/>
          <w:sz w:val="24"/>
        </w:rPr>
      </w:pPr>
      <w:r>
        <w:rPr>
          <w:rFonts w:hint="eastAsia" w:ascii="Times New Roman" w:hAnsi="Times New Roman"/>
          <w:bCs/>
          <w:sz w:val="24"/>
        </w:rPr>
        <w:t>我们推荐使用</w:t>
      </w:r>
      <w:r>
        <w:rPr>
          <w:rFonts w:hint="eastAsia" w:ascii="Times New Roman" w:hAnsi="Times New Roman"/>
          <w:b/>
          <w:sz w:val="24"/>
        </w:rPr>
        <w:t>iCell原代平滑肌细胞培养体系（产品编</w:t>
      </w:r>
      <w:r>
        <w:rPr>
          <w:rFonts w:ascii="Times New Roman" w:hAnsi="Times New Roman"/>
          <w:b/>
          <w:sz w:val="24"/>
        </w:rPr>
        <w:t>号：PriMed-iCELL-004</w:t>
      </w:r>
      <w:r>
        <w:rPr>
          <w:rFonts w:hint="eastAsia" w:ascii="Times New Roman" w:hAnsi="Times New Roman"/>
          <w:b/>
          <w:sz w:val="24"/>
        </w:rPr>
        <w:t>）</w:t>
      </w:r>
      <w:r>
        <w:rPr>
          <w:rFonts w:hint="eastAsia" w:ascii="Times New Roman" w:hAnsi="Times New Roman"/>
          <w:bCs/>
          <w:sz w:val="24"/>
        </w:rPr>
        <w:t>作为体外培养原代海绵体平滑肌细胞的培养基。</w:t>
      </w:r>
    </w:p>
    <w:p>
      <w:pPr>
        <w:jc w:val="left"/>
        <w:rPr>
          <w:rFonts w:ascii="Times New Roman" w:hAnsi="Times New Roman"/>
          <w:bCs/>
          <w:sz w:val="24"/>
        </w:rPr>
      </w:pPr>
    </w:p>
    <w:p>
      <w:pPr>
        <w:jc w:val="left"/>
        <w:rPr>
          <w:rFonts w:ascii="Times New Roman" w:hAnsi="Times New Roman"/>
          <w:b/>
          <w:sz w:val="24"/>
        </w:rPr>
      </w:pPr>
      <w:r>
        <w:rPr>
          <w:rFonts w:hint="eastAsia" w:ascii="Times New Roman" w:hAnsi="Times New Roman"/>
          <w:b/>
          <w:sz w:val="24"/>
        </w:rPr>
        <w:t>产品</w:t>
      </w:r>
      <w:r>
        <w:rPr>
          <w:rFonts w:ascii="Times New Roman" w:hAnsi="Times New Roman"/>
          <w:b/>
          <w:sz w:val="24"/>
        </w:rPr>
        <w:t>使用：</w:t>
      </w:r>
    </w:p>
    <w:p>
      <w:pPr>
        <w:numPr>
          <w:ilvl w:val="0"/>
          <w:numId w:val="3"/>
        </w:numPr>
        <w:tabs>
          <w:tab w:val="left" w:pos="425"/>
        </w:tabs>
        <w:jc w:val="left"/>
        <w:rPr>
          <w:rFonts w:ascii="Times New Roman" w:hAnsi="Times New Roman"/>
          <w:sz w:val="24"/>
        </w:rPr>
      </w:pPr>
      <w:r>
        <w:rPr>
          <w:rFonts w:hint="eastAsia" w:ascii="Times New Roman" w:hAnsi="Times New Roman"/>
          <w:sz w:val="24"/>
        </w:rPr>
        <w:t>本产品仅能用于科研</w:t>
      </w:r>
    </w:p>
    <w:p>
      <w:pPr>
        <w:numPr>
          <w:ilvl w:val="0"/>
          <w:numId w:val="3"/>
        </w:numPr>
        <w:tabs>
          <w:tab w:val="left" w:pos="425"/>
        </w:tabs>
        <w:jc w:val="left"/>
        <w:rPr>
          <w:rFonts w:ascii="Times New Roman" w:hAnsi="Times New Roman"/>
          <w:sz w:val="24"/>
        </w:rPr>
      </w:pPr>
      <w:r>
        <w:rPr>
          <w:rFonts w:hint="eastAsia" w:ascii="Times New Roman" w:hAnsi="Times New Roman"/>
          <w:sz w:val="24"/>
        </w:rPr>
        <w:t>本产品</w:t>
      </w:r>
      <w:bookmarkStart w:id="0" w:name="OLE_LINK1"/>
      <w:r>
        <w:rPr>
          <w:rFonts w:hint="eastAsia" w:ascii="Times New Roman" w:hAnsi="Times New Roman"/>
          <w:sz w:val="24"/>
        </w:rPr>
        <w:t>未通过直接用于活体动物和人的审核</w:t>
      </w:r>
      <w:bookmarkEnd w:id="0"/>
    </w:p>
    <w:p>
      <w:pPr>
        <w:numPr>
          <w:ilvl w:val="0"/>
          <w:numId w:val="3"/>
        </w:numPr>
        <w:tabs>
          <w:tab w:val="left" w:pos="425"/>
        </w:tabs>
        <w:jc w:val="left"/>
        <w:rPr>
          <w:rFonts w:ascii="Times New Roman" w:hAnsi="Times New Roman"/>
          <w:sz w:val="24"/>
        </w:rPr>
      </w:pPr>
      <w:r>
        <w:rPr>
          <w:rFonts w:hint="eastAsia" w:ascii="Times New Roman" w:hAnsi="Times New Roman"/>
          <w:sz w:val="24"/>
        </w:rPr>
        <w:t>本产品未通过用于活体诊断的审核</w:t>
      </w:r>
    </w:p>
    <w:p>
      <w:pPr>
        <w:jc w:val="left"/>
        <w:rPr>
          <w:b/>
          <w:sz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38960"/>
    <w:multiLevelType w:val="singleLevel"/>
    <w:tmpl w:val="57E38960"/>
    <w:lvl w:ilvl="0" w:tentative="0">
      <w:start w:val="1"/>
      <w:numFmt w:val="decimal"/>
      <w:lvlText w:val="%1)"/>
      <w:lvlJc w:val="left"/>
      <w:pPr>
        <w:ind w:left="425" w:hanging="425"/>
      </w:pPr>
      <w:rPr>
        <w:rFonts w:hint="default"/>
      </w:rPr>
    </w:lvl>
  </w:abstractNum>
  <w:abstractNum w:abstractNumId="1">
    <w:nsid w:val="57E38973"/>
    <w:multiLevelType w:val="singleLevel"/>
    <w:tmpl w:val="57E38973"/>
    <w:lvl w:ilvl="0" w:tentative="0">
      <w:start w:val="1"/>
      <w:numFmt w:val="decimal"/>
      <w:lvlText w:val="%1)"/>
      <w:lvlJc w:val="left"/>
      <w:pPr>
        <w:ind w:left="425" w:hanging="425"/>
      </w:pPr>
      <w:rPr>
        <w:rFonts w:hint="default"/>
      </w:rPr>
    </w:lvl>
  </w:abstractNum>
  <w:abstractNum w:abstractNumId="2">
    <w:nsid w:val="57E393F6"/>
    <w:multiLevelType w:val="singleLevel"/>
    <w:tmpl w:val="57E393F6"/>
    <w:lvl w:ilvl="0" w:tentative="0">
      <w:start w:val="1"/>
      <w:numFmt w:val="decimal"/>
      <w:lvlText w:val="%1)"/>
      <w:lvlJc w:val="left"/>
      <w:pPr>
        <w:ind w:left="425" w:hanging="425"/>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9CD"/>
    <w:rsid w:val="0009683C"/>
    <w:rsid w:val="00096E7A"/>
    <w:rsid w:val="000D1244"/>
    <w:rsid w:val="000D7770"/>
    <w:rsid w:val="00141BEC"/>
    <w:rsid w:val="00220636"/>
    <w:rsid w:val="002562AB"/>
    <w:rsid w:val="00283E7C"/>
    <w:rsid w:val="002A1C63"/>
    <w:rsid w:val="002B09C8"/>
    <w:rsid w:val="003C1218"/>
    <w:rsid w:val="00426BFF"/>
    <w:rsid w:val="004B676F"/>
    <w:rsid w:val="00513230"/>
    <w:rsid w:val="00520644"/>
    <w:rsid w:val="005F3DDA"/>
    <w:rsid w:val="00644D3E"/>
    <w:rsid w:val="00644E6E"/>
    <w:rsid w:val="00683D6E"/>
    <w:rsid w:val="006912D4"/>
    <w:rsid w:val="00696400"/>
    <w:rsid w:val="006A0788"/>
    <w:rsid w:val="006C7CF9"/>
    <w:rsid w:val="006E75C1"/>
    <w:rsid w:val="006F7B4F"/>
    <w:rsid w:val="00714531"/>
    <w:rsid w:val="00754D14"/>
    <w:rsid w:val="00774E9E"/>
    <w:rsid w:val="007763BC"/>
    <w:rsid w:val="007C6327"/>
    <w:rsid w:val="007E4C60"/>
    <w:rsid w:val="008A1F46"/>
    <w:rsid w:val="008A5ACF"/>
    <w:rsid w:val="008D3F70"/>
    <w:rsid w:val="008E2057"/>
    <w:rsid w:val="009A76FF"/>
    <w:rsid w:val="009C12E3"/>
    <w:rsid w:val="009D3FF5"/>
    <w:rsid w:val="00A17DE3"/>
    <w:rsid w:val="00A70D33"/>
    <w:rsid w:val="00A71722"/>
    <w:rsid w:val="00A74F95"/>
    <w:rsid w:val="00A80195"/>
    <w:rsid w:val="00AA4FB4"/>
    <w:rsid w:val="00B03C78"/>
    <w:rsid w:val="00B249CD"/>
    <w:rsid w:val="00B36F1A"/>
    <w:rsid w:val="00B42264"/>
    <w:rsid w:val="00B422DC"/>
    <w:rsid w:val="00B64FD2"/>
    <w:rsid w:val="00B70AA8"/>
    <w:rsid w:val="00BB6AAD"/>
    <w:rsid w:val="00BD210D"/>
    <w:rsid w:val="00C117CA"/>
    <w:rsid w:val="00CB1B06"/>
    <w:rsid w:val="00CE3E87"/>
    <w:rsid w:val="00D446B2"/>
    <w:rsid w:val="00D53D11"/>
    <w:rsid w:val="00D63E6B"/>
    <w:rsid w:val="00D8367D"/>
    <w:rsid w:val="00D90C97"/>
    <w:rsid w:val="00E15BA1"/>
    <w:rsid w:val="00E8505C"/>
    <w:rsid w:val="00E87043"/>
    <w:rsid w:val="00EB0FF2"/>
    <w:rsid w:val="00EB2F10"/>
    <w:rsid w:val="00EC1A12"/>
    <w:rsid w:val="00EE38E3"/>
    <w:rsid w:val="00F23893"/>
    <w:rsid w:val="00FA227C"/>
    <w:rsid w:val="00FC6CD1"/>
    <w:rsid w:val="01214776"/>
    <w:rsid w:val="04F1787A"/>
    <w:rsid w:val="053A082C"/>
    <w:rsid w:val="07565116"/>
    <w:rsid w:val="123F0A7C"/>
    <w:rsid w:val="148A713D"/>
    <w:rsid w:val="18B85688"/>
    <w:rsid w:val="1C6F213A"/>
    <w:rsid w:val="1FEB1E72"/>
    <w:rsid w:val="24472DF4"/>
    <w:rsid w:val="24844F3F"/>
    <w:rsid w:val="289F2CC0"/>
    <w:rsid w:val="28F84442"/>
    <w:rsid w:val="29394049"/>
    <w:rsid w:val="299172C0"/>
    <w:rsid w:val="29F2486B"/>
    <w:rsid w:val="2A994FA2"/>
    <w:rsid w:val="34293FB8"/>
    <w:rsid w:val="3D576184"/>
    <w:rsid w:val="40341800"/>
    <w:rsid w:val="41A26CF2"/>
    <w:rsid w:val="43D322A2"/>
    <w:rsid w:val="46C661AA"/>
    <w:rsid w:val="4EC46F4A"/>
    <w:rsid w:val="508820AE"/>
    <w:rsid w:val="517F6D7A"/>
    <w:rsid w:val="570101D8"/>
    <w:rsid w:val="5A6D1711"/>
    <w:rsid w:val="5AAD269E"/>
    <w:rsid w:val="5AF2484A"/>
    <w:rsid w:val="5DE74C19"/>
    <w:rsid w:val="5F69052F"/>
    <w:rsid w:val="63571BB4"/>
    <w:rsid w:val="66D02598"/>
    <w:rsid w:val="69165726"/>
    <w:rsid w:val="6A317D23"/>
    <w:rsid w:val="74E76EE5"/>
    <w:rsid w:val="779D4A6D"/>
    <w:rsid w:val="7C05642D"/>
    <w:rsid w:val="7F304364"/>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iPriority="59"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7"/>
    <w:unhideWhenUsed/>
    <w:qFormat/>
    <w:uiPriority w:val="99"/>
    <w:rPr>
      <w:sz w:val="16"/>
      <w:szCs w:val="16"/>
    </w:rPr>
  </w:style>
  <w:style w:type="character" w:styleId="4">
    <w:name w:val="Hyperlink"/>
    <w:basedOn w:val="3"/>
    <w:unhideWhenUsed/>
    <w:qFormat/>
    <w:uiPriority w:val="0"/>
    <w:rPr>
      <w:color w:val="0000FF"/>
      <w:u w:val="single"/>
    </w:rPr>
  </w:style>
  <w:style w:type="paragraph" w:customStyle="1" w:styleId="6">
    <w:name w:val="列出段落1"/>
    <w:basedOn w:val="1"/>
    <w:qFormat/>
    <w:uiPriority w:val="34"/>
    <w:pPr>
      <w:ind w:firstLine="420" w:firstLineChars="200"/>
    </w:pPr>
  </w:style>
  <w:style w:type="character" w:customStyle="1" w:styleId="7">
    <w:name w:val="批注框文本 Char"/>
    <w:basedOn w:val="3"/>
    <w:link w:val="2"/>
    <w:semiHidden/>
    <w:qFormat/>
    <w:uiPriority w:val="99"/>
    <w:rPr>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110</Words>
  <Characters>627</Characters>
  <Lines>5</Lines>
  <Paragraphs>1</Paragraphs>
  <TotalTime>0</TotalTime>
  <ScaleCrop>false</ScaleCrop>
  <LinksUpToDate>false</LinksUpToDate>
  <CharactersWithSpaces>736</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2015-09-25T04:57:00Z</dcterms:created>
  <dc:creator>Oscar</dc:creator>
  <cp:lastModifiedBy>yue</cp:lastModifiedBy>
  <dcterms:modified xsi:type="dcterms:W3CDTF">2016-10-02T02:11:48Z</dcterms:modified>
  <dc:title>_x0001_                                 人甲状腺滤泡上皮细胞</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